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89" w:rsidRPr="005C2789" w:rsidRDefault="005C2789" w:rsidP="005C2789">
      <w:pPr>
        <w:pStyle w:val="ab"/>
        <w:spacing w:after="100" w:afterAutospacing="1" w:line="300" w:lineRule="auto"/>
        <w:jc w:val="center"/>
        <w:rPr>
          <w:b/>
          <w:sz w:val="28"/>
          <w:szCs w:val="28"/>
        </w:rPr>
      </w:pPr>
      <w:r w:rsidRPr="005C2789">
        <w:rPr>
          <w:b/>
          <w:sz w:val="28"/>
          <w:szCs w:val="28"/>
        </w:rPr>
        <w:t>Самые необычные названия населенных пунктов Волгоградской области, вошедшие в ЕГРН в 2020 году</w:t>
      </w:r>
    </w:p>
    <w:p w:rsidR="005C2789" w:rsidRPr="005C2789" w:rsidRDefault="005C2789" w:rsidP="005C2789">
      <w:pPr>
        <w:pStyle w:val="ab"/>
        <w:spacing w:line="300" w:lineRule="auto"/>
        <w:rPr>
          <w:b/>
          <w:sz w:val="28"/>
          <w:szCs w:val="28"/>
          <w:lang w:eastAsia="en-US"/>
        </w:rPr>
      </w:pPr>
      <w:r w:rsidRPr="005C2789">
        <w:rPr>
          <w:b/>
          <w:sz w:val="28"/>
          <w:szCs w:val="28"/>
        </w:rPr>
        <w:t xml:space="preserve">В 2020 году Единый государственный реестр недвижимости (ЕГРН) пополнился сведениями о границах 26 населенных пунктов Волгоградской области. Всего в ЕГРН по состоянию на 1 декабря 2020 года содержатся сведения о 59 границах населенных пунктов. </w:t>
      </w:r>
    </w:p>
    <w:p w:rsidR="005C2789" w:rsidRPr="005C2789" w:rsidRDefault="005C2789" w:rsidP="005C2789">
      <w:pPr>
        <w:pStyle w:val="ab"/>
        <w:spacing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 xml:space="preserve">Среди необычных названий населенных пунктов Волгоградской области, данные о которых пополнили ЕГРН в 2020 году, хутор </w:t>
      </w:r>
      <w:proofErr w:type="spellStart"/>
      <w:r w:rsidRPr="005C2789">
        <w:rPr>
          <w:sz w:val="28"/>
          <w:szCs w:val="28"/>
        </w:rPr>
        <w:t>Кундрючкин</w:t>
      </w:r>
      <w:proofErr w:type="spellEnd"/>
      <w:r w:rsidRPr="005C2789">
        <w:rPr>
          <w:sz w:val="28"/>
          <w:szCs w:val="28"/>
        </w:rPr>
        <w:t xml:space="preserve"> </w:t>
      </w:r>
      <w:proofErr w:type="spellStart"/>
      <w:r w:rsidRPr="005C2789">
        <w:rPr>
          <w:sz w:val="28"/>
          <w:szCs w:val="28"/>
        </w:rPr>
        <w:t>Серафимовичского</w:t>
      </w:r>
      <w:proofErr w:type="spellEnd"/>
      <w:r w:rsidRPr="005C2789">
        <w:rPr>
          <w:sz w:val="28"/>
          <w:szCs w:val="28"/>
        </w:rPr>
        <w:t xml:space="preserve"> района, хутор </w:t>
      </w:r>
      <w:proofErr w:type="spellStart"/>
      <w:r w:rsidRPr="005C2789">
        <w:rPr>
          <w:sz w:val="28"/>
          <w:szCs w:val="28"/>
        </w:rPr>
        <w:t>Верхнезубриловский</w:t>
      </w:r>
      <w:proofErr w:type="spellEnd"/>
      <w:r w:rsidRPr="005C2789">
        <w:rPr>
          <w:sz w:val="28"/>
          <w:szCs w:val="28"/>
        </w:rPr>
        <w:t xml:space="preserve"> Новониколаевского района, хутор </w:t>
      </w:r>
      <w:proofErr w:type="spellStart"/>
      <w:r w:rsidRPr="005C2789">
        <w:rPr>
          <w:sz w:val="28"/>
          <w:szCs w:val="28"/>
        </w:rPr>
        <w:t>Карабидаевка</w:t>
      </w:r>
      <w:proofErr w:type="spellEnd"/>
      <w:r w:rsidRPr="005C2789">
        <w:rPr>
          <w:sz w:val="28"/>
          <w:szCs w:val="28"/>
        </w:rPr>
        <w:t xml:space="preserve"> </w:t>
      </w:r>
      <w:proofErr w:type="spellStart"/>
      <w:r w:rsidRPr="005C2789">
        <w:rPr>
          <w:sz w:val="28"/>
          <w:szCs w:val="28"/>
        </w:rPr>
        <w:t>Палласовского</w:t>
      </w:r>
      <w:proofErr w:type="spellEnd"/>
      <w:r w:rsidRPr="005C2789">
        <w:rPr>
          <w:sz w:val="28"/>
          <w:szCs w:val="28"/>
        </w:rPr>
        <w:t xml:space="preserve"> района, хутора Барановка и Добринка, поселок </w:t>
      </w:r>
      <w:proofErr w:type="spellStart"/>
      <w:r w:rsidRPr="005C2789">
        <w:rPr>
          <w:sz w:val="28"/>
          <w:szCs w:val="28"/>
        </w:rPr>
        <w:t>Торгунский</w:t>
      </w:r>
      <w:proofErr w:type="spellEnd"/>
      <w:r w:rsidRPr="005C2789">
        <w:rPr>
          <w:sz w:val="28"/>
          <w:szCs w:val="28"/>
        </w:rPr>
        <w:t xml:space="preserve"> Николаевского района.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i/>
          <w:sz w:val="28"/>
          <w:szCs w:val="28"/>
        </w:rPr>
        <w:t>«Определение границ населенных пунктов возложена на органы местного самоуправления. Именно они, согласно законодательству, инициируют работу по установлению данных границ. Кадастровая палата, в свою очередь, вносит полученные сведения в ЕГРН в порядке межведомственного взаимодействия»</w:t>
      </w:r>
      <w:r w:rsidRPr="005C2789">
        <w:rPr>
          <w:rFonts w:ascii="Times New Roman" w:hAnsi="Times New Roman" w:cs="Times New Roman"/>
          <w:sz w:val="28"/>
          <w:szCs w:val="28"/>
        </w:rPr>
        <w:t xml:space="preserve">, − отмечает </w:t>
      </w:r>
      <w:r w:rsidRPr="005C2789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5C2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 xml:space="preserve">Земельный кодекс РФ уточняет, что под установлением границ следует понимать утверждение или изменение генерального плана населенного пункта, а также утверждение или изменение схемы территориального планирования, отображающей границы сельских населенных пунктов, расположенных за пределами границ поселений. 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 xml:space="preserve">Границы населенных пунктов отделяют их земли от земель иных категорий. На землях населенных пунктов разрешено строительство жилых домов, возведение социальных объектов и объектов ЖКХ. 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объеме.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>«</w:t>
      </w:r>
      <w:r w:rsidRPr="005C2789">
        <w:rPr>
          <w:rFonts w:ascii="Times New Roman" w:hAnsi="Times New Roman" w:cs="Times New Roman"/>
          <w:i/>
          <w:sz w:val="28"/>
          <w:szCs w:val="28"/>
        </w:rPr>
        <w:t xml:space="preserve">Актуальные сведения о границах населенных пунктов помогают сократить число земельных споров между правообладателями и улучшить </w:t>
      </w:r>
      <w:r w:rsidRPr="005C2789">
        <w:rPr>
          <w:rFonts w:ascii="Times New Roman" w:hAnsi="Times New Roman" w:cs="Times New Roman"/>
          <w:i/>
          <w:sz w:val="28"/>
          <w:szCs w:val="28"/>
        </w:rPr>
        <w:lastRenderedPageBreak/>
        <w:t>качество управления территориями и земельными ресурсами региона, вовлекая земли в оборот</w:t>
      </w:r>
      <w:r w:rsidRPr="005C2789">
        <w:rPr>
          <w:rFonts w:ascii="Times New Roman" w:hAnsi="Times New Roman" w:cs="Times New Roman"/>
          <w:sz w:val="28"/>
          <w:szCs w:val="28"/>
        </w:rPr>
        <w:t xml:space="preserve">», − напоминает </w:t>
      </w:r>
      <w:r w:rsidRPr="005C2789"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5C2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7" w:rsidRDefault="00604A67" w:rsidP="00FE63C9">
      <w:pPr>
        <w:spacing w:line="240" w:lineRule="auto"/>
      </w:pPr>
      <w:r>
        <w:separator/>
      </w:r>
    </w:p>
  </w:endnote>
  <w:endnote w:type="continuationSeparator" w:id="0">
    <w:p w:rsidR="00604A67" w:rsidRDefault="00604A6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7" w:rsidRDefault="00604A67" w:rsidP="00FE63C9">
      <w:pPr>
        <w:spacing w:line="240" w:lineRule="auto"/>
      </w:pPr>
      <w:r>
        <w:separator/>
      </w:r>
    </w:p>
  </w:footnote>
  <w:footnote w:type="continuationSeparator" w:id="0">
    <w:p w:rsidR="00604A67" w:rsidRDefault="00604A6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FD292A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8C3F5B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1" o:spid="_x0000_i1028" type="#_x0000_t75" alt="🌳" style="width:12.1pt;height:12.1pt;visibility:visible" o:bullet="t">
        <v:imagedata r:id="rId1" o:title="🌳"/>
      </v:shape>
    </w:pict>
  </w:numPicBullet>
  <w:numPicBullet w:numPicBulletId="1">
    <w:pict>
      <v:shape id="Рисунок 11" o:spid="_x0000_i1029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E79F3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3F5B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292A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BA92-845A-41CE-9941-D28C05F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2020-11-06T05:39:00Z</cp:lastPrinted>
  <dcterms:created xsi:type="dcterms:W3CDTF">2021-01-13T17:26:00Z</dcterms:created>
  <dcterms:modified xsi:type="dcterms:W3CDTF">2021-01-13T17:26:00Z</dcterms:modified>
</cp:coreProperties>
</file>